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08D" w:rsidRPr="002F6420" w:rsidRDefault="00D8408D" w:rsidP="003A7BE9">
      <w:pPr>
        <w:spacing w:after="0" w:line="240" w:lineRule="auto"/>
        <w:jc w:val="both"/>
        <w:rPr>
          <w:rFonts w:cstheme="minorHAnsi"/>
        </w:rPr>
      </w:pPr>
      <w:r w:rsidRPr="002F6420">
        <w:rPr>
          <w:rFonts w:cstheme="minorHAnsi"/>
          <w:b/>
          <w:u w:val="single"/>
        </w:rPr>
        <w:t>Basic Engineering Scope of Supply to be provided by Wärtsilä under the Agreement:</w:t>
      </w:r>
    </w:p>
    <w:p w:rsidR="00D8408D" w:rsidRPr="002F6420" w:rsidRDefault="00D8408D" w:rsidP="003A7BE9">
      <w:pPr>
        <w:spacing w:after="0" w:line="240" w:lineRule="auto"/>
        <w:jc w:val="both"/>
        <w:rPr>
          <w:rFonts w:cstheme="minorHAnsi"/>
        </w:rPr>
      </w:pPr>
    </w:p>
    <w:p w:rsidR="00D8408D" w:rsidRPr="002F6420" w:rsidRDefault="00D8408D" w:rsidP="003A7BE9">
      <w:pPr>
        <w:spacing w:after="0" w:line="240" w:lineRule="auto"/>
        <w:jc w:val="both"/>
        <w:rPr>
          <w:rFonts w:cstheme="minorHAnsi"/>
        </w:rPr>
      </w:pPr>
    </w:p>
    <w:p w:rsidR="00D8408D" w:rsidRPr="002F6420" w:rsidRDefault="00D8408D" w:rsidP="003A7BE9">
      <w:pPr>
        <w:pStyle w:val="ListParagraph"/>
        <w:numPr>
          <w:ilvl w:val="0"/>
          <w:numId w:val="4"/>
        </w:numPr>
        <w:spacing w:after="0" w:line="360" w:lineRule="auto"/>
        <w:jc w:val="both"/>
        <w:rPr>
          <w:rFonts w:cstheme="minorHAnsi"/>
          <w:color w:val="000000" w:themeColor="text1"/>
        </w:rPr>
      </w:pPr>
      <w:r w:rsidRPr="002F6420">
        <w:rPr>
          <w:rFonts w:cstheme="minorHAnsi"/>
        </w:rPr>
        <w:t xml:space="preserve">Project site visit by Wärtsilä to confirm physical location of existing services and interconnection point locations.  Owner representatives that are technically qualified, knows existing facilities and has authority to speak on behalf of Owner will accompany Wärtsilä </w:t>
      </w:r>
      <w:r w:rsidRPr="002F6420">
        <w:rPr>
          <w:rFonts w:cstheme="minorHAnsi"/>
          <w:color w:val="000000" w:themeColor="text1"/>
        </w:rPr>
        <w:t>during site visit to define interconnection points and scope of supply, including  but not limited to:</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Fuel supply connection point and specifications</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 xml:space="preserve">Electrical interconnection including </w:t>
      </w:r>
    </w:p>
    <w:p w:rsidR="00D8408D" w:rsidRPr="002F6420" w:rsidRDefault="00D8408D" w:rsidP="003A7BE9">
      <w:pPr>
        <w:pStyle w:val="ListParagraph"/>
        <w:numPr>
          <w:ilvl w:val="2"/>
          <w:numId w:val="4"/>
        </w:numPr>
        <w:spacing w:after="0" w:line="360" w:lineRule="auto"/>
        <w:jc w:val="both"/>
        <w:rPr>
          <w:rFonts w:cstheme="minorHAnsi"/>
          <w:color w:val="000000" w:themeColor="text1"/>
        </w:rPr>
      </w:pPr>
      <w:r w:rsidRPr="002F6420">
        <w:rPr>
          <w:rFonts w:cstheme="minorHAnsi"/>
          <w:color w:val="000000" w:themeColor="text1"/>
        </w:rPr>
        <w:t>medium voltage connection and relay protection</w:t>
      </w:r>
    </w:p>
    <w:p w:rsidR="00D8408D" w:rsidRPr="002F6420" w:rsidRDefault="00D8408D" w:rsidP="003A7BE9">
      <w:pPr>
        <w:pStyle w:val="ListParagraph"/>
        <w:numPr>
          <w:ilvl w:val="2"/>
          <w:numId w:val="4"/>
        </w:numPr>
        <w:spacing w:after="0" w:line="360" w:lineRule="auto"/>
        <w:jc w:val="both"/>
        <w:rPr>
          <w:rFonts w:cstheme="minorHAnsi"/>
          <w:color w:val="000000" w:themeColor="text1"/>
        </w:rPr>
      </w:pPr>
      <w:r w:rsidRPr="002F6420">
        <w:rPr>
          <w:rFonts w:cstheme="minorHAnsi"/>
          <w:color w:val="000000" w:themeColor="text1"/>
        </w:rPr>
        <w:t xml:space="preserve">high voltage connection (step-up transformer) and relay protection </w:t>
      </w:r>
    </w:p>
    <w:p w:rsidR="00D8408D" w:rsidRPr="002F6420" w:rsidRDefault="00D8408D" w:rsidP="003A7BE9">
      <w:pPr>
        <w:pStyle w:val="ListParagraph"/>
        <w:numPr>
          <w:ilvl w:val="2"/>
          <w:numId w:val="4"/>
        </w:numPr>
        <w:spacing w:after="0" w:line="360" w:lineRule="auto"/>
        <w:jc w:val="both"/>
        <w:rPr>
          <w:rFonts w:cstheme="minorHAnsi"/>
          <w:color w:val="000000" w:themeColor="text1"/>
        </w:rPr>
      </w:pPr>
      <w:r w:rsidRPr="002F6420">
        <w:rPr>
          <w:rFonts w:cstheme="minorHAnsi"/>
          <w:color w:val="000000" w:themeColor="text1"/>
        </w:rPr>
        <w:t>construction power requirements and connection</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Potable water service</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Cooling water service</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Firewater service</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Oily water treatment/disposal</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Stormwater connection point or management plan</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Sewage/Waste water treatment/disposal</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Integration to existing CEMS systems</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Communications/Fiber optic connection point</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Define Project scope at each site, including preliminary engine specifications and balance of plant specifications</w:t>
      </w:r>
    </w:p>
    <w:p w:rsidR="00D8408D" w:rsidRPr="002F6420" w:rsidRDefault="00D8408D" w:rsidP="003A7BE9">
      <w:pPr>
        <w:pStyle w:val="ListParagraph"/>
        <w:numPr>
          <w:ilvl w:val="0"/>
          <w:numId w:val="4"/>
        </w:numPr>
        <w:spacing w:after="0" w:line="360" w:lineRule="auto"/>
        <w:jc w:val="both"/>
        <w:rPr>
          <w:rFonts w:cstheme="minorHAnsi"/>
          <w:color w:val="000000" w:themeColor="text1"/>
        </w:rPr>
      </w:pPr>
      <w:r w:rsidRPr="002F6420">
        <w:rPr>
          <w:rFonts w:cstheme="minorHAnsi"/>
          <w:color w:val="000000" w:themeColor="text1"/>
        </w:rPr>
        <w:t>Specify applicable codes, standards, and regulations that will be the basis for the Project scope at each site (civil, electrical, mechanical, instrumentation etc.).  This should include the latest adjustments for hurricane wind loads.</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Define site conditions and ambient conditions applicable to Project design</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 xml:space="preserve">Define fuel specifications </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Define water specifications for engine and fire system</w:t>
      </w:r>
    </w:p>
    <w:p w:rsidR="00D8408D" w:rsidRPr="002F6420" w:rsidRDefault="00D8408D" w:rsidP="003A7BE9">
      <w:pPr>
        <w:pStyle w:val="ListParagraph"/>
        <w:numPr>
          <w:ilvl w:val="0"/>
          <w:numId w:val="4"/>
        </w:numPr>
        <w:spacing w:after="0" w:line="360" w:lineRule="auto"/>
        <w:jc w:val="both"/>
        <w:rPr>
          <w:rFonts w:cstheme="minorHAnsi"/>
          <w:color w:val="000000" w:themeColor="text1"/>
        </w:rPr>
      </w:pPr>
      <w:r w:rsidRPr="002F6420">
        <w:rPr>
          <w:rFonts w:cstheme="minorHAnsi"/>
        </w:rPr>
        <w:t>Define</w:t>
      </w:r>
      <w:r w:rsidRPr="002F6420">
        <w:rPr>
          <w:rFonts w:cstheme="minorHAnsi"/>
          <w:color w:val="FF0000"/>
        </w:rPr>
        <w:t xml:space="preserve"> </w:t>
      </w:r>
      <w:r w:rsidRPr="002F6420">
        <w:rPr>
          <w:rFonts w:cstheme="minorHAnsi"/>
        </w:rPr>
        <w:t xml:space="preserve">permit requirements and approvals required for each Project site </w:t>
      </w:r>
      <w:r w:rsidRPr="002F6420">
        <w:rPr>
          <w:rFonts w:cstheme="minorHAnsi"/>
          <w:color w:val="000000" w:themeColor="text1"/>
        </w:rPr>
        <w:t xml:space="preserve">to be followed during design, construction and operation of the units. Also, discuss the information needed from </w:t>
      </w:r>
      <w:r w:rsidRPr="002F6420">
        <w:rPr>
          <w:rFonts w:cstheme="minorHAnsi"/>
          <w:color w:val="000000" w:themeColor="text1"/>
        </w:rPr>
        <w:lastRenderedPageBreak/>
        <w:t>the Contractor required for preparing applications and responsibility for securing such permits. Permits to be discussed include but are not limited to:</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Authority to Construct Permit (DPNR)</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Building Permit (DPNR)</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Earth Change Permit (DPNR)</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 xml:space="preserve">TPDES compliance (EPA) for general construction stormwater and operational discharge, if applicable. </w:t>
      </w:r>
    </w:p>
    <w:p w:rsidR="00D8408D" w:rsidRPr="002F6420" w:rsidRDefault="00D8408D" w:rsidP="003A7BE9">
      <w:pPr>
        <w:pStyle w:val="ListParagraph"/>
        <w:numPr>
          <w:ilvl w:val="1"/>
          <w:numId w:val="4"/>
        </w:numPr>
        <w:spacing w:after="0" w:line="360" w:lineRule="auto"/>
        <w:jc w:val="both"/>
        <w:rPr>
          <w:rFonts w:cstheme="minorHAnsi"/>
          <w:color w:val="000000" w:themeColor="text1"/>
        </w:rPr>
      </w:pPr>
      <w:r w:rsidRPr="002F6420">
        <w:rPr>
          <w:rFonts w:cstheme="minorHAnsi"/>
          <w:color w:val="000000" w:themeColor="text1"/>
        </w:rPr>
        <w:t>Waste Disposal Permit for Demolished Materials (VIWMA)</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Prepare preliminary division of responsibility table.</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Prepare preliminary demolition plan for each individual site. The plan should include proposed method of disposal for all demolished materials and should clearly identify any existing infrastructure that will remain to support the installation of the new units.</w:t>
      </w:r>
    </w:p>
    <w:p w:rsidR="00D8408D" w:rsidRPr="002F6420" w:rsidRDefault="00D8408D" w:rsidP="003A7BE9">
      <w:pPr>
        <w:pStyle w:val="ListParagraph"/>
        <w:numPr>
          <w:ilvl w:val="0"/>
          <w:numId w:val="4"/>
        </w:numPr>
        <w:spacing w:after="0" w:line="240" w:lineRule="auto"/>
        <w:jc w:val="both"/>
        <w:rPr>
          <w:rFonts w:cstheme="minorHAnsi"/>
          <w:color w:val="000000" w:themeColor="text1"/>
        </w:rPr>
      </w:pPr>
      <w:r w:rsidRPr="002F6420">
        <w:rPr>
          <w:rFonts w:cstheme="minorHAnsi"/>
          <w:color w:val="000000" w:themeColor="text1"/>
        </w:rPr>
        <w:t>Prepare a preliminary delivery route study/method statement to identify issues with delivering engines to installation location. The route study should identify any potential obstacles or existing infrastructure that will need to be removed/rerouted to facilitate the safe transport of the units to the site.</w:t>
      </w:r>
    </w:p>
    <w:p w:rsidR="00D8408D" w:rsidRPr="002F6420" w:rsidRDefault="00D8408D" w:rsidP="003A7BE9">
      <w:pPr>
        <w:pStyle w:val="ListParagraph"/>
        <w:spacing w:after="0" w:line="240" w:lineRule="auto"/>
        <w:jc w:val="both"/>
        <w:rPr>
          <w:rFonts w:cstheme="minorHAnsi"/>
          <w:color w:val="000000" w:themeColor="text1"/>
        </w:rPr>
      </w:pPr>
    </w:p>
    <w:p w:rsidR="00D8408D" w:rsidRPr="002F6420" w:rsidRDefault="00D8408D" w:rsidP="003A7BE9">
      <w:pPr>
        <w:pStyle w:val="ListParagraph"/>
        <w:numPr>
          <w:ilvl w:val="0"/>
          <w:numId w:val="4"/>
        </w:numPr>
        <w:spacing w:after="0" w:line="240" w:lineRule="auto"/>
        <w:jc w:val="both"/>
        <w:rPr>
          <w:rFonts w:cstheme="minorHAnsi"/>
          <w:color w:val="000000" w:themeColor="text1"/>
        </w:rPr>
      </w:pPr>
      <w:r w:rsidRPr="002F6420">
        <w:rPr>
          <w:rFonts w:cstheme="minorHAnsi"/>
          <w:color w:val="000000" w:themeColor="text1"/>
        </w:rPr>
        <w:t>Prepare a method statement for ensuring the timely delivery of construction materials (i.e. Concrete, shipping containers, etc.) from St. Thomas to laydown areas on St. John.</w:t>
      </w:r>
    </w:p>
    <w:p w:rsidR="00D8408D" w:rsidRPr="002F6420" w:rsidRDefault="00D8408D" w:rsidP="003A7BE9">
      <w:pPr>
        <w:pStyle w:val="ListParagraph"/>
        <w:spacing w:after="0" w:line="360" w:lineRule="auto"/>
        <w:jc w:val="both"/>
        <w:rPr>
          <w:rFonts w:cstheme="minorHAnsi"/>
        </w:rPr>
      </w:pP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Prepare topographic survey of each site to be used for engineering and design</w:t>
      </w:r>
    </w:p>
    <w:p w:rsidR="00D8408D" w:rsidRPr="002F6420" w:rsidRDefault="00D8408D" w:rsidP="003A7BE9">
      <w:pPr>
        <w:pStyle w:val="ListParagraph"/>
        <w:numPr>
          <w:ilvl w:val="0"/>
          <w:numId w:val="4"/>
        </w:numPr>
        <w:spacing w:after="0" w:line="360" w:lineRule="auto"/>
        <w:jc w:val="both"/>
        <w:rPr>
          <w:rFonts w:cstheme="minorHAnsi"/>
        </w:rPr>
      </w:pPr>
      <w:r w:rsidRPr="002F6420">
        <w:rPr>
          <w:rFonts w:cstheme="minorHAnsi"/>
        </w:rPr>
        <w:t>Prepare geotechnical survey of each site, including recommendations for heavy load and light load foundations associated with the various Project structures.  The Geotech report shall be provided to Owner in draft form for review prior to finalization.</w:t>
      </w:r>
    </w:p>
    <w:p w:rsidR="00D8408D" w:rsidRPr="002F6420" w:rsidRDefault="00D8408D" w:rsidP="003A7BE9">
      <w:pPr>
        <w:pStyle w:val="ListParagraph"/>
        <w:spacing w:after="0" w:line="240" w:lineRule="auto"/>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rPr>
      </w:pPr>
      <w:r w:rsidRPr="002F6420">
        <w:rPr>
          <w:rFonts w:cstheme="minorHAnsi"/>
        </w:rPr>
        <w:t xml:space="preserve">Provide site layout with suitable stack height that meets environmental and site-specific requirements. Stack height to be confirmed with Owner environmental staff before finalization. </w:t>
      </w:r>
    </w:p>
    <w:p w:rsidR="00D8408D" w:rsidRPr="002F6420" w:rsidRDefault="00D8408D" w:rsidP="003A7BE9">
      <w:pPr>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rPr>
      </w:pPr>
      <w:r w:rsidRPr="002F6420">
        <w:rPr>
          <w:rFonts w:cstheme="minorHAnsi"/>
        </w:rPr>
        <w:t xml:space="preserve">Provide plan and section drawing of power generation building  </w:t>
      </w:r>
    </w:p>
    <w:p w:rsidR="00D8408D" w:rsidRPr="002F6420" w:rsidRDefault="00D8408D" w:rsidP="003A7BE9">
      <w:pPr>
        <w:pStyle w:val="ListParagraph"/>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rPr>
      </w:pPr>
      <w:r w:rsidRPr="002F6420">
        <w:rPr>
          <w:rFonts w:cstheme="minorHAnsi"/>
        </w:rPr>
        <w:t>Provide Electrical equipment building layout</w:t>
      </w:r>
    </w:p>
    <w:p w:rsidR="00D8408D" w:rsidRPr="002F6420" w:rsidRDefault="00D8408D" w:rsidP="003A7BE9">
      <w:pPr>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color w:val="000000" w:themeColor="text1"/>
        </w:rPr>
      </w:pPr>
      <w:r w:rsidRPr="002F6420">
        <w:rPr>
          <w:rFonts w:cstheme="minorHAnsi"/>
          <w:color w:val="000000" w:themeColor="text1"/>
        </w:rPr>
        <w:t>For each site, provide specifications for Step-Up transformer, low voltage feeder connection to Owner, potable water supply, fuel storage, lube oil storage, air emission controls, CEM for air emissions, stormwater management, sewage water and oily water storage/disposal, Instrument air point(s).</w:t>
      </w:r>
    </w:p>
    <w:p w:rsidR="00D8408D" w:rsidRPr="002F6420" w:rsidRDefault="00D8408D" w:rsidP="003A7BE9">
      <w:pPr>
        <w:tabs>
          <w:tab w:val="left" w:pos="1725"/>
        </w:tabs>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rPr>
      </w:pPr>
      <w:r w:rsidRPr="002F6420">
        <w:rPr>
          <w:rFonts w:cstheme="minorHAnsi"/>
        </w:rPr>
        <w:t xml:space="preserve">Provide electrical single/one-line diagrams for the power plant </w:t>
      </w:r>
      <w:r w:rsidRPr="002F6420">
        <w:rPr>
          <w:rFonts w:cstheme="minorHAnsi"/>
          <w:color w:val="000000" w:themeColor="text1"/>
        </w:rPr>
        <w:t xml:space="preserve">at each site, including a separate one-line diagram for the St. John system integration, reflecting both sits.  </w:t>
      </w:r>
    </w:p>
    <w:p w:rsidR="00D8408D" w:rsidRPr="002F6420" w:rsidRDefault="00D8408D" w:rsidP="003A7BE9">
      <w:pPr>
        <w:pStyle w:val="ListParagraph"/>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color w:val="000000" w:themeColor="text1"/>
        </w:rPr>
      </w:pPr>
      <w:r w:rsidRPr="002F6420">
        <w:rPr>
          <w:rFonts w:cstheme="minorHAnsi"/>
          <w:color w:val="000000" w:themeColor="text1"/>
        </w:rPr>
        <w:t>Provide preliminary relay protection drawings</w:t>
      </w:r>
    </w:p>
    <w:p w:rsidR="00D8408D" w:rsidRPr="002F6420" w:rsidRDefault="00D8408D" w:rsidP="003A7BE9">
      <w:pPr>
        <w:ind w:left="360"/>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8E5DC3">
        <w:rPr>
          <w:rFonts w:cstheme="minorHAnsi"/>
        </w:rPr>
        <w:t xml:space="preserve">Provide MFD </w:t>
      </w:r>
      <w:r w:rsidRPr="002F6420">
        <w:rPr>
          <w:rFonts w:cstheme="minorHAnsi"/>
        </w:rPr>
        <w:t xml:space="preserve"> of the auxiliary/support systems for each plant site</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Provide schematic of power plant monitoring and control system (including Cause and Effect Scheme), as well as plan and design for communication system and contro</w:t>
      </w:r>
      <w:r w:rsidR="007E3859">
        <w:rPr>
          <w:rFonts w:cstheme="minorHAnsi"/>
        </w:rPr>
        <w:t>l</w:t>
      </w:r>
      <w:r w:rsidRPr="00366676">
        <w:rPr>
          <w:rFonts w:cstheme="minorHAnsi"/>
        </w:rPr>
        <w:t xml:space="preserve"> integration into the STT/STJ power generation SCADA system.</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 xml:space="preserve">Provide description of power plant’s fire protection system, (and Detection system(s)), including firewater receiving, storage and handling, and water tankage requirements for the fire system at each site. . </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Provide description of engine alarm and shutdown features</w:t>
      </w:r>
    </w:p>
    <w:p w:rsidR="00D8408D" w:rsidRPr="00366676" w:rsidRDefault="00D8408D" w:rsidP="003A7BE9">
      <w:pPr>
        <w:spacing w:after="0" w:line="240" w:lineRule="auto"/>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For each site, provide electrical output and heat rate data for full load and low load, based on site conditions</w:t>
      </w:r>
    </w:p>
    <w:p w:rsidR="00D8408D" w:rsidRPr="00366676" w:rsidRDefault="00D8408D" w:rsidP="003A7BE9">
      <w:pPr>
        <w:pStyle w:val="ListParagraph"/>
        <w:jc w:val="both"/>
        <w:rPr>
          <w:rFonts w:cstheme="minorHAnsi"/>
        </w:rPr>
      </w:pPr>
    </w:p>
    <w:p w:rsidR="00D8408D" w:rsidRPr="002F6420" w:rsidRDefault="00D8408D" w:rsidP="003A7BE9">
      <w:pPr>
        <w:pStyle w:val="ListParagraph"/>
        <w:numPr>
          <w:ilvl w:val="0"/>
          <w:numId w:val="4"/>
        </w:numPr>
        <w:spacing w:after="0" w:line="240" w:lineRule="auto"/>
        <w:jc w:val="both"/>
        <w:rPr>
          <w:rFonts w:cstheme="minorHAnsi"/>
        </w:rPr>
      </w:pPr>
      <w:r w:rsidRPr="00366676">
        <w:rPr>
          <w:rFonts w:cstheme="minorHAnsi"/>
        </w:rPr>
        <w:t xml:space="preserve">Provide power plant noise </w:t>
      </w:r>
      <w:r w:rsidRPr="008E5DC3">
        <w:rPr>
          <w:rFonts w:cstheme="minorHAnsi"/>
        </w:rPr>
        <w:t>study for each site</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 xml:space="preserve">Evaluate the availability and conduct water quality analysis to determine whether water requires treatment.  </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color w:val="000000" w:themeColor="text1"/>
        </w:rPr>
        <w:t xml:space="preserve">Provide specification of </w:t>
      </w:r>
      <w:r w:rsidRPr="00366676">
        <w:rPr>
          <w:rFonts w:cstheme="minorHAnsi"/>
        </w:rPr>
        <w:t>diesel fuel receiving, storage, handling system, including provisions for spill prevention and regulatory compliance.</w:t>
      </w:r>
    </w:p>
    <w:p w:rsidR="00D8408D" w:rsidRPr="00366676" w:rsidRDefault="00D8408D" w:rsidP="003A7BE9">
      <w:pPr>
        <w:spacing w:after="0" w:line="240" w:lineRule="auto"/>
        <w:jc w:val="both"/>
        <w:rPr>
          <w:rFonts w:cstheme="minorHAnsi"/>
        </w:rPr>
      </w:pPr>
    </w:p>
    <w:p w:rsidR="00D8408D" w:rsidRPr="00366676" w:rsidRDefault="00D8408D" w:rsidP="003A7BE9">
      <w:pPr>
        <w:spacing w:after="0" w:line="240" w:lineRule="auto"/>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Provide technical specifications for Contractor-supplied Generator, Step-Up transformer and Station Service transformer</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 xml:space="preserve">Provide technical specifications of Diesel Generator and Operation/Control System [KW and KVAR Control], consistent with what is being installed at STT Randolph Harley project. </w:t>
      </w:r>
    </w:p>
    <w:p w:rsidR="00D8408D" w:rsidRPr="00366676" w:rsidRDefault="00D8408D" w:rsidP="003A7BE9">
      <w:pPr>
        <w:pStyle w:val="ListParagraph"/>
        <w:spacing w:after="0" w:line="240" w:lineRule="auto"/>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Define volume of lube oil and water treatment chemicals required for first fill for power plant start-up at each site</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color w:val="000000" w:themeColor="text1"/>
        </w:rPr>
      </w:pPr>
      <w:r w:rsidRPr="00366676">
        <w:rPr>
          <w:rFonts w:cstheme="minorHAnsi"/>
          <w:color w:val="000000" w:themeColor="text1"/>
        </w:rPr>
        <w:t xml:space="preserve">Provide interconnection points drawings, preliminary demolition plan, preliminary delivery route study and Basic Engineering Drawings (including but not limited to Dimensional Input drawings of the Engine Building [including provisions for electrical room, control room and warehouse/shop/toolroom], Stack, Station Transformer, Step-Up Transformer,  including the preliminary engineering and design of foundation for all components of the power plant. A separate set of drawings shall be provided for each site.  </w:t>
      </w:r>
    </w:p>
    <w:p w:rsidR="007E3859" w:rsidRDefault="007E3859" w:rsidP="003A7BE9">
      <w:pPr>
        <w:pStyle w:val="ListParagraph"/>
        <w:spacing w:after="0" w:line="240" w:lineRule="auto"/>
        <w:jc w:val="both"/>
        <w:rPr>
          <w:rFonts w:cstheme="minorHAnsi"/>
          <w:color w:val="000000" w:themeColor="text1"/>
        </w:rPr>
      </w:pPr>
    </w:p>
    <w:p w:rsidR="00D8408D" w:rsidRPr="00366676" w:rsidRDefault="00D8408D" w:rsidP="003A7BE9">
      <w:pPr>
        <w:pStyle w:val="ListParagraph"/>
        <w:spacing w:after="0" w:line="240" w:lineRule="auto"/>
        <w:jc w:val="both"/>
        <w:rPr>
          <w:rFonts w:cstheme="minorHAnsi"/>
          <w:color w:val="000000" w:themeColor="text1"/>
        </w:rPr>
      </w:pPr>
      <w:r w:rsidRPr="00366676">
        <w:rPr>
          <w:rFonts w:cstheme="minorHAnsi"/>
          <w:color w:val="000000" w:themeColor="text1"/>
        </w:rPr>
        <w:t xml:space="preserve">Final versions (100%) of the aforementioned drawings and reports/studies which will represent the basic engineering and design of the proposed installation at each site will be delivered within ninety (90) calendar days from receipt by Wärtsilä of the </w:t>
      </w:r>
      <w:r w:rsidR="00F43305">
        <w:rPr>
          <w:rFonts w:cstheme="minorHAnsi"/>
          <w:color w:val="000000" w:themeColor="text1"/>
        </w:rPr>
        <w:t>geotechnical survey from its subcontractor</w:t>
      </w:r>
      <w:r w:rsidRPr="00366676">
        <w:rPr>
          <w:rFonts w:cstheme="minorHAnsi"/>
          <w:color w:val="000000" w:themeColor="text1"/>
        </w:rPr>
        <w:t xml:space="preserve">. </w:t>
      </w:r>
    </w:p>
    <w:p w:rsidR="00D8408D" w:rsidRPr="00366676" w:rsidRDefault="00D8408D" w:rsidP="003A7BE9">
      <w:pPr>
        <w:pStyle w:val="ListParagraph"/>
        <w:spacing w:after="0" w:line="240" w:lineRule="auto"/>
        <w:jc w:val="both"/>
        <w:rPr>
          <w:rFonts w:cstheme="minorHAnsi"/>
          <w:color w:val="000000" w:themeColor="text1"/>
        </w:rPr>
      </w:pPr>
    </w:p>
    <w:p w:rsidR="00D8408D" w:rsidRPr="00366676" w:rsidRDefault="00D8408D" w:rsidP="003A7BE9">
      <w:pPr>
        <w:pStyle w:val="ListParagraph"/>
        <w:spacing w:after="0" w:line="240" w:lineRule="auto"/>
        <w:jc w:val="both"/>
        <w:rPr>
          <w:rFonts w:cstheme="minorHAnsi"/>
          <w:color w:val="000000" w:themeColor="text1"/>
        </w:rPr>
      </w:pPr>
      <w:r w:rsidRPr="00366676">
        <w:rPr>
          <w:rFonts w:cstheme="minorHAnsi"/>
          <w:color w:val="000000" w:themeColor="text1"/>
        </w:rPr>
        <w:t xml:space="preserve">Wartsila shall notify the Owner of the selected seismic and wind design requirements that will be used to drive the design no later than fourteen (14) calendar days after receipt by Wartsila of the </w:t>
      </w:r>
      <w:r w:rsidR="007E3859">
        <w:rPr>
          <w:rFonts w:cstheme="minorHAnsi"/>
          <w:color w:val="000000" w:themeColor="text1"/>
        </w:rPr>
        <w:t>geotechnical survey from its subcontractor</w:t>
      </w:r>
      <w:r w:rsidRPr="00366676">
        <w:rPr>
          <w:rFonts w:cstheme="minorHAnsi"/>
          <w:color w:val="000000" w:themeColor="text1"/>
        </w:rPr>
        <w:t>. The Owner shall have seven (7) calendar days to notify the Contractor if the selected seismic and wind requirements are acceptable or if more stringent requirements are necessary.</w:t>
      </w:r>
    </w:p>
    <w:p w:rsidR="00D8408D" w:rsidRDefault="00D8408D" w:rsidP="003A7BE9">
      <w:pPr>
        <w:pStyle w:val="ListParagraph"/>
        <w:jc w:val="both"/>
        <w:rPr>
          <w:rFonts w:cstheme="minorHAnsi"/>
        </w:rPr>
      </w:pPr>
    </w:p>
    <w:p w:rsidR="003A7BE9" w:rsidRPr="00366676" w:rsidRDefault="003A7BE9" w:rsidP="003A7BE9">
      <w:pPr>
        <w:pStyle w:val="ListParagraph"/>
        <w:spacing w:after="0" w:line="240" w:lineRule="auto"/>
        <w:jc w:val="both"/>
        <w:rPr>
          <w:rFonts w:cstheme="minorHAnsi"/>
          <w:color w:val="000000" w:themeColor="text1"/>
        </w:rPr>
      </w:pPr>
      <w:r>
        <w:rPr>
          <w:rFonts w:cstheme="minorHAnsi"/>
          <w:color w:val="000000" w:themeColor="text1"/>
        </w:rPr>
        <w:t xml:space="preserve">Wartsila will provide an update to Owner with respect to the progress of all work 30 days after receipt of </w:t>
      </w:r>
      <w:r w:rsidR="00F43305">
        <w:rPr>
          <w:rFonts w:cstheme="minorHAnsi"/>
          <w:color w:val="000000" w:themeColor="text1"/>
        </w:rPr>
        <w:t xml:space="preserve">the geotechnical survey </w:t>
      </w:r>
      <w:r>
        <w:rPr>
          <w:rFonts w:cstheme="minorHAnsi"/>
          <w:color w:val="000000" w:themeColor="text1"/>
        </w:rPr>
        <w:t xml:space="preserve">and again 60 days after receipt of </w:t>
      </w:r>
      <w:r w:rsidR="00F43305">
        <w:rPr>
          <w:rFonts w:cstheme="minorHAnsi"/>
          <w:color w:val="000000" w:themeColor="text1"/>
        </w:rPr>
        <w:t>the geotechnical survey</w:t>
      </w:r>
      <w:r>
        <w:rPr>
          <w:rFonts w:cstheme="minorHAnsi"/>
          <w:color w:val="000000" w:themeColor="text1"/>
        </w:rPr>
        <w:t>, in each case providing Owner with an opportunity to review and comment on all documents prepared through such 30- and 60-day anniversary date.</w:t>
      </w:r>
    </w:p>
    <w:p w:rsidR="007E3859" w:rsidRPr="00366676" w:rsidRDefault="007E3859"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An assessment will be made to define the controls, electrical room and associated space requirements. The assessment will be made based on collaboration between the Contractor and the Owner, to be evaluated for a single unit installation -unmanned.</w:t>
      </w:r>
    </w:p>
    <w:p w:rsidR="00D8408D" w:rsidRPr="00366676" w:rsidRDefault="00D8408D" w:rsidP="003A7BE9">
      <w:pPr>
        <w:pStyle w:val="ListParagraph"/>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 xml:space="preserve">Provide a detailed description of emissions (NOx, CO, VOC </w:t>
      </w:r>
      <w:proofErr w:type="spellStart"/>
      <w:r w:rsidRPr="00366676">
        <w:rPr>
          <w:rFonts w:cstheme="minorHAnsi"/>
        </w:rPr>
        <w:t>etc</w:t>
      </w:r>
      <w:proofErr w:type="spellEnd"/>
      <w:r w:rsidRPr="00366676">
        <w:rPr>
          <w:rFonts w:cstheme="minorHAnsi"/>
        </w:rPr>
        <w:t>…) and emission controls.  Include MSDS’s if required.</w:t>
      </w:r>
    </w:p>
    <w:p w:rsidR="00D8408D" w:rsidRPr="00366676" w:rsidRDefault="00D8408D" w:rsidP="003A7BE9">
      <w:pPr>
        <w:pStyle w:val="ListParagraph"/>
        <w:tabs>
          <w:tab w:val="left" w:pos="1170"/>
        </w:tabs>
        <w:jc w:val="both"/>
        <w:rPr>
          <w:rFonts w:cstheme="minorHAnsi"/>
        </w:rPr>
      </w:pPr>
      <w:r w:rsidRPr="00366676">
        <w:rPr>
          <w:rFonts w:cstheme="minorHAnsi"/>
        </w:rPr>
        <w:tab/>
      </w:r>
    </w:p>
    <w:p w:rsidR="00D8408D" w:rsidRPr="00366676" w:rsidRDefault="00D8408D" w:rsidP="003A7BE9">
      <w:pPr>
        <w:pStyle w:val="ListParagraph"/>
        <w:numPr>
          <w:ilvl w:val="0"/>
          <w:numId w:val="4"/>
        </w:numPr>
        <w:spacing w:after="0" w:line="240" w:lineRule="auto"/>
        <w:jc w:val="both"/>
        <w:rPr>
          <w:rFonts w:cstheme="minorHAnsi"/>
        </w:rPr>
      </w:pPr>
      <w:r w:rsidRPr="00366676">
        <w:rPr>
          <w:rFonts w:cstheme="minorHAnsi"/>
        </w:rPr>
        <w:t xml:space="preserve">Provide requirements and description for laydown area near each site. </w:t>
      </w:r>
    </w:p>
    <w:p w:rsidR="00D8408D" w:rsidRPr="008E5DC3" w:rsidRDefault="00D8408D" w:rsidP="003A7BE9">
      <w:pPr>
        <w:spacing w:after="0" w:line="240" w:lineRule="auto"/>
        <w:jc w:val="both"/>
        <w:rPr>
          <w:rFonts w:cstheme="minorHAnsi"/>
        </w:rPr>
      </w:pPr>
    </w:p>
    <w:p w:rsidR="00D8408D" w:rsidRPr="00366676" w:rsidRDefault="00D8408D" w:rsidP="003A7BE9">
      <w:pPr>
        <w:pStyle w:val="ListParagraph"/>
        <w:numPr>
          <w:ilvl w:val="0"/>
          <w:numId w:val="4"/>
        </w:numPr>
        <w:spacing w:after="0" w:line="240" w:lineRule="auto"/>
        <w:jc w:val="both"/>
        <w:rPr>
          <w:rFonts w:cstheme="minorHAnsi"/>
          <w:color w:val="000000" w:themeColor="text1"/>
        </w:rPr>
      </w:pPr>
      <w:r w:rsidRPr="002F6420">
        <w:rPr>
          <w:rFonts w:cstheme="minorHAnsi"/>
          <w:color w:val="000000" w:themeColor="text1"/>
        </w:rPr>
        <w:t xml:space="preserve">Provide preliminary Project schedule in </w:t>
      </w:r>
      <w:r w:rsidRPr="00366676">
        <w:rPr>
          <w:rFonts w:cstheme="minorHAnsi"/>
          <w:color w:val="000000" w:themeColor="text1"/>
        </w:rPr>
        <w:t>Microsoft project, which shall be shared with the Owner in the original schedule software format, and updated as the Project progresses.</w:t>
      </w:r>
    </w:p>
    <w:p w:rsidR="00D8408D" w:rsidRPr="00366676" w:rsidRDefault="00D8408D" w:rsidP="003A7BE9">
      <w:pPr>
        <w:pStyle w:val="ListParagraph"/>
        <w:jc w:val="both"/>
        <w:rPr>
          <w:rFonts w:cstheme="minorHAnsi"/>
          <w:color w:val="000000" w:themeColor="text1"/>
        </w:rPr>
      </w:pPr>
    </w:p>
    <w:p w:rsidR="00D8408D" w:rsidRPr="00366676" w:rsidRDefault="00D8408D" w:rsidP="003A7BE9">
      <w:pPr>
        <w:pStyle w:val="ListParagraph"/>
        <w:numPr>
          <w:ilvl w:val="0"/>
          <w:numId w:val="4"/>
        </w:numPr>
        <w:spacing w:after="0" w:line="240" w:lineRule="auto"/>
        <w:jc w:val="both"/>
        <w:rPr>
          <w:rFonts w:cstheme="minorHAnsi"/>
          <w:color w:val="000000" w:themeColor="text1"/>
        </w:rPr>
      </w:pPr>
      <w:r w:rsidRPr="00366676">
        <w:rPr>
          <w:rFonts w:cstheme="minorHAnsi"/>
          <w:color w:val="000000" w:themeColor="text1"/>
        </w:rPr>
        <w:t>Provide a list of potential subcontractors for each major SOW for Owner approval.</w:t>
      </w:r>
    </w:p>
    <w:p w:rsidR="00D8408D" w:rsidRPr="00366676" w:rsidRDefault="00D8408D" w:rsidP="003A7BE9">
      <w:pPr>
        <w:pStyle w:val="ListParagraph"/>
        <w:jc w:val="both"/>
        <w:rPr>
          <w:rFonts w:cstheme="minorHAnsi"/>
          <w:color w:val="000000" w:themeColor="text1"/>
        </w:rPr>
      </w:pPr>
    </w:p>
    <w:p w:rsidR="00D8408D" w:rsidRPr="00366676" w:rsidRDefault="00D8408D" w:rsidP="003A7BE9">
      <w:pPr>
        <w:pStyle w:val="ListParagraph"/>
        <w:numPr>
          <w:ilvl w:val="0"/>
          <w:numId w:val="4"/>
        </w:numPr>
        <w:spacing w:after="0" w:line="240" w:lineRule="auto"/>
        <w:jc w:val="both"/>
      </w:pPr>
      <w:r w:rsidRPr="00366676">
        <w:rPr>
          <w:rFonts w:cstheme="minorHAnsi"/>
          <w:color w:val="000000" w:themeColor="text1"/>
        </w:rPr>
        <w:t>Coordinate with Owner in defining the Project site areas to be surfaced with gravel, rip-rap and/or asphalt.</w:t>
      </w:r>
    </w:p>
    <w:p w:rsidR="00441523" w:rsidRDefault="00441523" w:rsidP="003A7BE9">
      <w:pPr>
        <w:ind w:left="720"/>
        <w:jc w:val="both"/>
      </w:pPr>
    </w:p>
    <w:p w:rsidR="00F85F57" w:rsidRDefault="00F85F57" w:rsidP="003A7BE9">
      <w:pPr>
        <w:ind w:left="720"/>
        <w:jc w:val="both"/>
      </w:pPr>
    </w:p>
    <w:p w:rsidR="00F85F57" w:rsidRDefault="00F85F57" w:rsidP="003A7BE9">
      <w:pPr>
        <w:ind w:left="720"/>
        <w:jc w:val="both"/>
      </w:pPr>
    </w:p>
    <w:p w:rsidR="00F85F57" w:rsidRPr="00441523" w:rsidRDefault="00F85F57" w:rsidP="003A7BE9">
      <w:pPr>
        <w:jc w:val="both"/>
        <w:rPr>
          <w:b/>
          <w:sz w:val="28"/>
          <w:szCs w:val="28"/>
          <w:u w:val="single"/>
        </w:rPr>
      </w:pPr>
      <w:r>
        <w:rPr>
          <w:b/>
          <w:sz w:val="28"/>
          <w:szCs w:val="28"/>
          <w:u w:val="single"/>
        </w:rPr>
        <w:t xml:space="preserve">BESS </w:t>
      </w:r>
      <w:r w:rsidRPr="00441523">
        <w:rPr>
          <w:b/>
          <w:sz w:val="28"/>
          <w:szCs w:val="28"/>
          <w:u w:val="single"/>
        </w:rPr>
        <w:t xml:space="preserve">Scope of </w:t>
      </w:r>
      <w:r>
        <w:rPr>
          <w:b/>
          <w:sz w:val="28"/>
          <w:szCs w:val="28"/>
          <w:u w:val="single"/>
        </w:rPr>
        <w:t>Engineering</w:t>
      </w:r>
    </w:p>
    <w:p w:rsidR="00F85F57" w:rsidRPr="00B53CA5" w:rsidRDefault="00F85F57" w:rsidP="003A7BE9">
      <w:pPr>
        <w:pStyle w:val="ListParagraph"/>
        <w:jc w:val="both"/>
        <w:rPr>
          <w:lang w:val="en-GB"/>
        </w:rPr>
      </w:pPr>
      <w:r w:rsidRPr="00B53CA5">
        <w:rPr>
          <w:lang w:val="en-GB"/>
        </w:rPr>
        <w:t>C</w:t>
      </w:r>
      <w:r w:rsidR="00E73749">
        <w:rPr>
          <w:lang w:val="en-GB"/>
        </w:rPr>
        <w:t>oral</w:t>
      </w:r>
      <w:r w:rsidRPr="00B53CA5">
        <w:rPr>
          <w:lang w:val="en-GB"/>
        </w:rPr>
        <w:t xml:space="preserve"> Bay BESS</w:t>
      </w:r>
    </w:p>
    <w:p w:rsidR="00F85F57" w:rsidRPr="00975194" w:rsidRDefault="00F85F57" w:rsidP="003A7BE9">
      <w:pPr>
        <w:jc w:val="both"/>
        <w:rPr>
          <w:b/>
        </w:rPr>
      </w:pPr>
      <w:r w:rsidRPr="00975194">
        <w:rPr>
          <w:b/>
        </w:rPr>
        <w:t>Summary</w:t>
      </w:r>
    </w:p>
    <w:p w:rsidR="00E42054" w:rsidRDefault="00E42054" w:rsidP="003A7BE9">
      <w:pPr>
        <w:ind w:left="720"/>
        <w:jc w:val="both"/>
      </w:pPr>
      <w:r>
        <w:t xml:space="preserve">Wärtsilä is offering an Engineering analysis for two battery energy storage systems (BESS) each at different sites on St. John. There are some key differences between the Engineering study of as it relates to the reciprocating engine power plant and the Engineering study of the BESS. </w:t>
      </w:r>
    </w:p>
    <w:p w:rsidR="00E42054" w:rsidRDefault="00E42054" w:rsidP="003A7BE9">
      <w:pPr>
        <w:ind w:left="720"/>
        <w:jc w:val="both"/>
      </w:pPr>
      <w:r>
        <w:t>While</w:t>
      </w:r>
      <w:r w:rsidR="00CB04D1">
        <w:t>,</w:t>
      </w:r>
      <w:r>
        <w:t xml:space="preserve"> for example, with the power plant, the engine sizing is already known, the BESS sizing will be determined as part of an Engineering study. Therefore, the BESS Engineering study must be divided in two sequential stages: “Stage 1 – Sizing Study” and “Stage 2 – Engineering.” The scope of Stage 2 can only begin after the confirmation from WAPA of the results from Stage 1.</w:t>
      </w:r>
    </w:p>
    <w:p w:rsidR="008C5CF0" w:rsidRDefault="00E42054" w:rsidP="003A7BE9">
      <w:pPr>
        <w:ind w:left="720"/>
        <w:jc w:val="both"/>
      </w:pPr>
      <w:r>
        <w:t>Bearing in mind the importance of establishing a definitive project schedule, following completion of Stage 1, Wärtsilä can optionally provide WAPA with a limited notice to proceed (LNTP) contract that would involve a down payment in order to secure the delivery of equipment with long delivery lead times – equipment such as batteries, inverters, and MV transformers    . The equipment quantities in the proposed LNTP contract would be determined during the “Stage 1 – Sizing Study” and the L</w:t>
      </w:r>
      <w:r w:rsidR="008C5CF0">
        <w:t xml:space="preserve">NTP price will be based on the </w:t>
      </w:r>
      <w:r>
        <w:t>payment terms offered by the equipment OEMS. As a consequence, the price that</w:t>
      </w:r>
      <w:r w:rsidR="00CB04D1">
        <w:t xml:space="preserve"> </w:t>
      </w:r>
      <w:r>
        <w:t>would be associated with the LNTP is not known at this time. The benefit of the LNTP contract approach to WAPA is that it begins the overall project delivery timeline prior to completion of Stage 2 of the BESS Engineering. The LNTP is optional, and alternative</w:t>
      </w:r>
      <w:r w:rsidR="008C5CF0">
        <w:t xml:space="preserve">ly WAPA can choose </w:t>
      </w:r>
      <w:r>
        <w:t>to begin procurement</w:t>
      </w:r>
      <w:r w:rsidR="008C5CF0">
        <w:t xml:space="preserve"> of battery equipment as part of a single contract signed at the end of the Engineering analysis.</w:t>
      </w:r>
    </w:p>
    <w:p w:rsidR="00F85F57" w:rsidRPr="00975194" w:rsidRDefault="00F85F57" w:rsidP="003A7BE9">
      <w:pPr>
        <w:jc w:val="both"/>
        <w:rPr>
          <w:b/>
        </w:rPr>
      </w:pPr>
      <w:r w:rsidRPr="00975194">
        <w:rPr>
          <w:b/>
        </w:rPr>
        <w:t>Price</w:t>
      </w:r>
    </w:p>
    <w:p w:rsidR="00F85F57" w:rsidRDefault="00F85F57" w:rsidP="003A7BE9">
      <w:pPr>
        <w:ind w:left="720"/>
        <w:jc w:val="both"/>
      </w:pPr>
      <w:r>
        <w:t xml:space="preserve">USD $450,000. </w:t>
      </w:r>
    </w:p>
    <w:p w:rsidR="00F85F57" w:rsidRDefault="00F85F57" w:rsidP="003A7BE9">
      <w:pPr>
        <w:ind w:left="720"/>
        <w:jc w:val="both"/>
      </w:pPr>
      <w:r>
        <w:t xml:space="preserve">Includes Stage 1 and Stage 2 scope of supply listed below. Includes Coral Bay BESS and Cruz Bay </w:t>
      </w:r>
      <w:r w:rsidR="007E3859">
        <w:t>BESS (on Site 1).</w:t>
      </w:r>
    </w:p>
    <w:p w:rsidR="00F85F57" w:rsidRDefault="00F85F57" w:rsidP="003A7BE9">
      <w:pPr>
        <w:jc w:val="both"/>
        <w:rPr>
          <w:b/>
        </w:rPr>
      </w:pPr>
      <w:r w:rsidRPr="00975194">
        <w:rPr>
          <w:b/>
        </w:rPr>
        <w:t>Estimated Timeline</w:t>
      </w:r>
    </w:p>
    <w:p w:rsidR="00F85F57" w:rsidRPr="00E74BC7" w:rsidRDefault="00F85F57" w:rsidP="003A7BE9">
      <w:pPr>
        <w:pStyle w:val="ListParagraph"/>
        <w:numPr>
          <w:ilvl w:val="0"/>
          <w:numId w:val="1"/>
        </w:numPr>
        <w:jc w:val="both"/>
      </w:pPr>
      <w:r w:rsidRPr="00E74BC7">
        <w:t xml:space="preserve">Stage 1 – Sizing Study: </w:t>
      </w:r>
      <w:r w:rsidRPr="00E74BC7">
        <w:tab/>
      </w:r>
      <w:r w:rsidRPr="00E74BC7">
        <w:tab/>
        <w:t>1 month from USVI input</w:t>
      </w:r>
      <w:r>
        <w:t xml:space="preserve"> (detailed below)</w:t>
      </w:r>
    </w:p>
    <w:p w:rsidR="00F85F57" w:rsidRPr="00E74BC7" w:rsidRDefault="00F85F57" w:rsidP="003A7BE9">
      <w:pPr>
        <w:pStyle w:val="ListParagraph"/>
        <w:numPr>
          <w:ilvl w:val="0"/>
          <w:numId w:val="3"/>
        </w:numPr>
        <w:jc w:val="both"/>
      </w:pPr>
      <w:r w:rsidRPr="00E74BC7">
        <w:t xml:space="preserve">Optional LNTP: </w:t>
      </w:r>
      <w:r w:rsidRPr="00E74BC7">
        <w:tab/>
      </w:r>
      <w:r w:rsidRPr="00E74BC7">
        <w:tab/>
      </w:r>
      <w:r w:rsidRPr="00E74BC7">
        <w:tab/>
        <w:t>Immediately following Stage 1 results</w:t>
      </w:r>
    </w:p>
    <w:p w:rsidR="00F85F57" w:rsidRPr="00E74BC7" w:rsidRDefault="00F85F57" w:rsidP="003A7BE9">
      <w:pPr>
        <w:pStyle w:val="ListParagraph"/>
        <w:numPr>
          <w:ilvl w:val="0"/>
          <w:numId w:val="3"/>
        </w:numPr>
        <w:jc w:val="both"/>
      </w:pPr>
      <w:r w:rsidRPr="00E74BC7">
        <w:t xml:space="preserve">Stage 2 – </w:t>
      </w:r>
      <w:r>
        <w:t>Engineering</w:t>
      </w:r>
      <w:r w:rsidRPr="00E74BC7">
        <w:t xml:space="preserve">: </w:t>
      </w:r>
      <w:r>
        <w:tab/>
      </w:r>
      <w:r w:rsidRPr="00E74BC7">
        <w:t xml:space="preserve">2 months from confirmation of </w:t>
      </w:r>
      <w:r>
        <w:t>“</w:t>
      </w:r>
      <w:r w:rsidRPr="00E74BC7">
        <w:t>Stage 1 – Sizing Study</w:t>
      </w:r>
      <w:r>
        <w:t>”</w:t>
      </w:r>
    </w:p>
    <w:p w:rsidR="00F85F57" w:rsidRDefault="00F85F57" w:rsidP="003A7BE9">
      <w:pPr>
        <w:pStyle w:val="ListParagraph"/>
        <w:numPr>
          <w:ilvl w:val="0"/>
          <w:numId w:val="3"/>
        </w:numPr>
        <w:jc w:val="both"/>
      </w:pPr>
      <w:r w:rsidRPr="00E74BC7">
        <w:t xml:space="preserve">BESS Commercial Operation: </w:t>
      </w:r>
      <w:r w:rsidRPr="00E74BC7">
        <w:tab/>
        <w:t>9</w:t>
      </w:r>
      <w:r>
        <w:t xml:space="preserve"> months from equipment down payment / Optional LNTP</w:t>
      </w:r>
    </w:p>
    <w:p w:rsidR="00F85F57" w:rsidRDefault="00F85F57" w:rsidP="003A7BE9">
      <w:pPr>
        <w:ind w:left="360"/>
        <w:jc w:val="both"/>
      </w:pPr>
      <w:r w:rsidRPr="00975194">
        <w:t>Note:</w:t>
      </w:r>
      <w:r>
        <w:t xml:space="preserve"> timeline includes both BESS projects</w:t>
      </w:r>
    </w:p>
    <w:p w:rsidR="003A7BE9" w:rsidRDefault="003A7BE9" w:rsidP="003A7BE9">
      <w:pPr>
        <w:ind w:left="360"/>
        <w:jc w:val="both"/>
      </w:pPr>
    </w:p>
    <w:p w:rsidR="00F85F57" w:rsidRPr="00F421B8" w:rsidRDefault="00F85F57" w:rsidP="003A7BE9">
      <w:pPr>
        <w:jc w:val="both"/>
        <w:rPr>
          <w:b/>
        </w:rPr>
      </w:pPr>
      <w:r w:rsidRPr="00975194">
        <w:rPr>
          <w:b/>
        </w:rPr>
        <w:t>Scope of Supply</w:t>
      </w:r>
    </w:p>
    <w:p w:rsidR="00F85F57" w:rsidRDefault="00F85F57" w:rsidP="003A7BE9">
      <w:pPr>
        <w:ind w:firstLine="360"/>
        <w:jc w:val="both"/>
      </w:pPr>
      <w:r>
        <w:t>Stage 1 – Sizing Study</w:t>
      </w:r>
    </w:p>
    <w:p w:rsidR="00F85F57" w:rsidRDefault="00F85F57" w:rsidP="003A7BE9">
      <w:pPr>
        <w:pStyle w:val="ListParagraph"/>
        <w:numPr>
          <w:ilvl w:val="1"/>
          <w:numId w:val="1"/>
        </w:numPr>
        <w:jc w:val="both"/>
      </w:pPr>
      <w:r>
        <w:t>USVI input</w:t>
      </w:r>
    </w:p>
    <w:p w:rsidR="00F85F57" w:rsidRDefault="00F85F57" w:rsidP="003A7BE9">
      <w:pPr>
        <w:pStyle w:val="ListParagraph"/>
        <w:numPr>
          <w:ilvl w:val="2"/>
          <w:numId w:val="1"/>
        </w:numPr>
        <w:jc w:val="both"/>
      </w:pPr>
      <w:r>
        <w:t>Site footprint</w:t>
      </w:r>
    </w:p>
    <w:p w:rsidR="00F85F57" w:rsidRDefault="00F85F57" w:rsidP="003A7BE9">
      <w:pPr>
        <w:pStyle w:val="ListParagraph"/>
        <w:numPr>
          <w:ilvl w:val="2"/>
          <w:numId w:val="1"/>
        </w:numPr>
        <w:jc w:val="both"/>
      </w:pPr>
      <w:r>
        <w:t>Interconnection details</w:t>
      </w:r>
    </w:p>
    <w:p w:rsidR="00F85F57" w:rsidRDefault="00F85F57" w:rsidP="003A7BE9">
      <w:pPr>
        <w:pStyle w:val="ListParagraph"/>
        <w:numPr>
          <w:ilvl w:val="2"/>
          <w:numId w:val="1"/>
        </w:numPr>
        <w:jc w:val="both"/>
      </w:pPr>
      <w:r>
        <w:t>Project term</w:t>
      </w:r>
    </w:p>
    <w:p w:rsidR="00F85F57" w:rsidRDefault="00F85F57" w:rsidP="003A7BE9">
      <w:pPr>
        <w:pStyle w:val="ListParagraph"/>
        <w:numPr>
          <w:ilvl w:val="2"/>
          <w:numId w:val="1"/>
        </w:numPr>
        <w:jc w:val="both"/>
      </w:pPr>
      <w:r>
        <w:t>Battery use case requirements (can be open discussion)</w:t>
      </w:r>
    </w:p>
    <w:p w:rsidR="00F85F57" w:rsidRDefault="00F85F57" w:rsidP="003A7BE9">
      <w:pPr>
        <w:pStyle w:val="ListParagraph"/>
        <w:numPr>
          <w:ilvl w:val="2"/>
          <w:numId w:val="1"/>
        </w:numPr>
        <w:jc w:val="both"/>
      </w:pPr>
      <w:r>
        <w:t>Design conditions (design temperature, power factor)</w:t>
      </w:r>
    </w:p>
    <w:p w:rsidR="00F85F57" w:rsidRDefault="00F85F57" w:rsidP="003A7BE9">
      <w:pPr>
        <w:pStyle w:val="ListParagraph"/>
        <w:numPr>
          <w:ilvl w:val="1"/>
          <w:numId w:val="1"/>
        </w:numPr>
        <w:jc w:val="both"/>
      </w:pPr>
      <w:r>
        <w:t>Wärtsilä deliverables</w:t>
      </w:r>
    </w:p>
    <w:p w:rsidR="00F85F57" w:rsidRDefault="00F85F57" w:rsidP="003A7BE9">
      <w:pPr>
        <w:pStyle w:val="ListParagraph"/>
        <w:numPr>
          <w:ilvl w:val="2"/>
          <w:numId w:val="1"/>
        </w:numPr>
        <w:jc w:val="both"/>
      </w:pPr>
      <w:r>
        <w:t>Use case modelling</w:t>
      </w:r>
    </w:p>
    <w:p w:rsidR="00F85F57" w:rsidRDefault="00F85F57" w:rsidP="003A7BE9">
      <w:pPr>
        <w:pStyle w:val="ListParagraph"/>
        <w:numPr>
          <w:ilvl w:val="2"/>
          <w:numId w:val="1"/>
        </w:numPr>
        <w:jc w:val="both"/>
      </w:pPr>
      <w:r>
        <w:t>Battery degradation analysis</w:t>
      </w:r>
    </w:p>
    <w:p w:rsidR="00F85F57" w:rsidRDefault="00F85F57" w:rsidP="003A7BE9">
      <w:pPr>
        <w:pStyle w:val="ListParagraph"/>
        <w:numPr>
          <w:ilvl w:val="2"/>
          <w:numId w:val="1"/>
        </w:numPr>
        <w:jc w:val="both"/>
      </w:pPr>
      <w:r>
        <w:t>Battery sizing optimization based on degradation analysis</w:t>
      </w:r>
    </w:p>
    <w:p w:rsidR="00F85F57" w:rsidRDefault="00F85F57" w:rsidP="003A7BE9">
      <w:pPr>
        <w:pStyle w:val="ListParagraph"/>
        <w:numPr>
          <w:ilvl w:val="2"/>
          <w:numId w:val="1"/>
        </w:numPr>
        <w:jc w:val="both"/>
      </w:pPr>
      <w:r>
        <w:t>Battery equipment selection and bill of materials</w:t>
      </w:r>
    </w:p>
    <w:p w:rsidR="00F85F57" w:rsidRDefault="00F85F57" w:rsidP="003A7BE9">
      <w:pPr>
        <w:pStyle w:val="ListParagraph"/>
        <w:numPr>
          <w:ilvl w:val="2"/>
          <w:numId w:val="1"/>
        </w:numPr>
        <w:jc w:val="both"/>
      </w:pPr>
      <w:r>
        <w:t>Indicative BESS pricing</w:t>
      </w:r>
    </w:p>
    <w:p w:rsidR="00F85F57" w:rsidRDefault="00F85F57" w:rsidP="003A7BE9">
      <w:pPr>
        <w:ind w:firstLine="360"/>
        <w:jc w:val="both"/>
      </w:pPr>
      <w:r>
        <w:t>Stage 2 – Engineering</w:t>
      </w:r>
    </w:p>
    <w:p w:rsidR="00F85F57" w:rsidRDefault="00F85F57" w:rsidP="003A7BE9">
      <w:pPr>
        <w:pStyle w:val="ListParagraph"/>
        <w:numPr>
          <w:ilvl w:val="0"/>
          <w:numId w:val="2"/>
        </w:numPr>
        <w:jc w:val="both"/>
      </w:pPr>
      <w:r>
        <w:t>USVI input</w:t>
      </w:r>
    </w:p>
    <w:p w:rsidR="00F85F57" w:rsidRDefault="00F85F57" w:rsidP="003A7BE9">
      <w:pPr>
        <w:pStyle w:val="ListParagraph"/>
        <w:numPr>
          <w:ilvl w:val="1"/>
          <w:numId w:val="2"/>
        </w:numPr>
        <w:jc w:val="both"/>
      </w:pPr>
      <w:r>
        <w:t>Confirmation of Stage 1 Sizing Study results</w:t>
      </w:r>
    </w:p>
    <w:p w:rsidR="00F85F57" w:rsidRDefault="00F85F57" w:rsidP="003A7BE9">
      <w:pPr>
        <w:pStyle w:val="ListParagraph"/>
        <w:numPr>
          <w:ilvl w:val="0"/>
          <w:numId w:val="2"/>
        </w:numPr>
        <w:jc w:val="both"/>
      </w:pPr>
      <w:r>
        <w:t>Wärtsilä deliverables</w:t>
      </w:r>
    </w:p>
    <w:p w:rsidR="00F85F57" w:rsidRDefault="00F85F57" w:rsidP="003A7BE9">
      <w:pPr>
        <w:pStyle w:val="ListParagraph"/>
        <w:numPr>
          <w:ilvl w:val="1"/>
          <w:numId w:val="2"/>
        </w:numPr>
        <w:jc w:val="both"/>
      </w:pPr>
      <w:r>
        <w:t>System SLD and Schematic</w:t>
      </w:r>
    </w:p>
    <w:p w:rsidR="00F85F57" w:rsidRDefault="00F85F57" w:rsidP="003A7BE9">
      <w:pPr>
        <w:pStyle w:val="ListParagraph"/>
        <w:numPr>
          <w:ilvl w:val="1"/>
          <w:numId w:val="2"/>
        </w:numPr>
        <w:jc w:val="both"/>
      </w:pPr>
      <w:r>
        <w:t>Site Layout options investigation and finalization</w:t>
      </w:r>
    </w:p>
    <w:p w:rsidR="00F85F57" w:rsidRDefault="00F85F57" w:rsidP="003A7BE9">
      <w:pPr>
        <w:pStyle w:val="ListParagraph"/>
        <w:numPr>
          <w:ilvl w:val="1"/>
          <w:numId w:val="2"/>
        </w:numPr>
        <w:jc w:val="both"/>
      </w:pPr>
      <w:r>
        <w:t>DC container drawing finalization in compliance with local codes and including confirmation of container dimensions, weights and connection points</w:t>
      </w:r>
    </w:p>
    <w:p w:rsidR="00F85F57" w:rsidRDefault="00F85F57" w:rsidP="003A7BE9">
      <w:pPr>
        <w:pStyle w:val="ListParagraph"/>
        <w:numPr>
          <w:ilvl w:val="1"/>
          <w:numId w:val="2"/>
        </w:numPr>
        <w:jc w:val="both"/>
      </w:pPr>
      <w:r>
        <w:t>Foundation design</w:t>
      </w:r>
    </w:p>
    <w:p w:rsidR="00F85F57" w:rsidRDefault="00F85F57" w:rsidP="003A7BE9">
      <w:pPr>
        <w:pStyle w:val="ListParagraph"/>
        <w:numPr>
          <w:ilvl w:val="1"/>
          <w:numId w:val="2"/>
        </w:numPr>
        <w:jc w:val="both"/>
      </w:pPr>
      <w:r>
        <w:t>Auxiliary power sizing and load calculation</w:t>
      </w:r>
    </w:p>
    <w:p w:rsidR="00F85F57" w:rsidRDefault="00F85F57" w:rsidP="003A7BE9">
      <w:pPr>
        <w:pStyle w:val="ListParagraph"/>
        <w:numPr>
          <w:ilvl w:val="1"/>
          <w:numId w:val="2"/>
        </w:numPr>
        <w:jc w:val="both"/>
      </w:pPr>
      <w:r>
        <w:t>Auxiliary power distribution including conductor sizing </w:t>
      </w:r>
    </w:p>
    <w:p w:rsidR="00F85F57" w:rsidRDefault="00F85F57" w:rsidP="003A7BE9">
      <w:pPr>
        <w:pStyle w:val="ListParagraph"/>
        <w:numPr>
          <w:ilvl w:val="1"/>
          <w:numId w:val="2"/>
        </w:numPr>
        <w:jc w:val="both"/>
      </w:pPr>
      <w:r>
        <w:t>Main MV circuit breaker preliminary specification</w:t>
      </w:r>
    </w:p>
    <w:p w:rsidR="00F85F57" w:rsidRDefault="00F85F57" w:rsidP="003A7BE9">
      <w:pPr>
        <w:pStyle w:val="ListParagraph"/>
        <w:numPr>
          <w:ilvl w:val="1"/>
          <w:numId w:val="2"/>
        </w:numPr>
        <w:jc w:val="both"/>
      </w:pPr>
      <w:r>
        <w:t>Site communication schematic and connection diagram</w:t>
      </w:r>
    </w:p>
    <w:p w:rsidR="00F85F57" w:rsidRDefault="00F85F57" w:rsidP="003A7BE9">
      <w:pPr>
        <w:pStyle w:val="ListParagraph"/>
        <w:numPr>
          <w:ilvl w:val="1"/>
          <w:numId w:val="2"/>
        </w:numPr>
        <w:jc w:val="both"/>
      </w:pPr>
      <w:r>
        <w:t>External preliminary low voltage, data and control wiring schematic</w:t>
      </w:r>
    </w:p>
    <w:p w:rsidR="00F85F57" w:rsidRDefault="00F85F57" w:rsidP="003A7BE9">
      <w:pPr>
        <w:pStyle w:val="ListParagraph"/>
        <w:numPr>
          <w:ilvl w:val="1"/>
          <w:numId w:val="2"/>
        </w:numPr>
        <w:jc w:val="both"/>
      </w:pPr>
      <w:r>
        <w:t>External preliminary cable routing for low voltage and data conductors</w:t>
      </w:r>
    </w:p>
    <w:p w:rsidR="00F85F57" w:rsidRDefault="00F85F57" w:rsidP="003A7BE9">
      <w:pPr>
        <w:pStyle w:val="ListParagraph"/>
        <w:numPr>
          <w:ilvl w:val="1"/>
          <w:numId w:val="2"/>
        </w:numPr>
        <w:jc w:val="both"/>
      </w:pPr>
      <w:r>
        <w:t>Preliminary MV cable loop conductor sizing and routing</w:t>
      </w:r>
    </w:p>
    <w:p w:rsidR="00F85F57" w:rsidRDefault="00F85F57" w:rsidP="003A7BE9">
      <w:pPr>
        <w:pStyle w:val="ListParagraph"/>
        <w:numPr>
          <w:ilvl w:val="1"/>
          <w:numId w:val="2"/>
        </w:numPr>
        <w:jc w:val="both"/>
      </w:pPr>
      <w:r>
        <w:t>Operational philosophy and system controls functional specification</w:t>
      </w:r>
    </w:p>
    <w:p w:rsidR="00F85F57" w:rsidRDefault="00F85F57" w:rsidP="003A7BE9">
      <w:pPr>
        <w:pStyle w:val="ListParagraph"/>
        <w:numPr>
          <w:ilvl w:val="1"/>
          <w:numId w:val="2"/>
        </w:numPr>
        <w:jc w:val="both"/>
      </w:pPr>
      <w:r>
        <w:t>Preliminary grounding grid study and sizing</w:t>
      </w:r>
    </w:p>
    <w:p w:rsidR="00F85F57" w:rsidRDefault="00F85F57" w:rsidP="003A7BE9">
      <w:pPr>
        <w:pStyle w:val="ListParagraph"/>
        <w:numPr>
          <w:ilvl w:val="1"/>
          <w:numId w:val="2"/>
        </w:numPr>
        <w:jc w:val="both"/>
      </w:pPr>
      <w:r w:rsidRPr="00F013BF">
        <w:t>DC conductor between DC container and PCS sizing and routing preliminary design</w:t>
      </w:r>
    </w:p>
    <w:p w:rsidR="00F85F57" w:rsidRDefault="00F85F57" w:rsidP="003A7BE9">
      <w:pPr>
        <w:pStyle w:val="ListParagraph"/>
        <w:numPr>
          <w:ilvl w:val="1"/>
          <w:numId w:val="2"/>
        </w:numPr>
        <w:jc w:val="both"/>
      </w:pPr>
      <w:r>
        <w:t>Auxiliary transformer selection and quotes, conduit/trench sizing and preliminary routing</w:t>
      </w:r>
    </w:p>
    <w:p w:rsidR="00F85F57" w:rsidRDefault="00F85F57" w:rsidP="003A7BE9">
      <w:pPr>
        <w:pStyle w:val="ListParagraph"/>
        <w:numPr>
          <w:ilvl w:val="1"/>
          <w:numId w:val="2"/>
        </w:numPr>
        <w:jc w:val="both"/>
      </w:pPr>
      <w:r w:rsidRPr="00F013BF">
        <w:t>MV POI protection and relay preliminary specification</w:t>
      </w:r>
    </w:p>
    <w:p w:rsidR="00F85F57" w:rsidRDefault="00F85F57" w:rsidP="003A7BE9">
      <w:pPr>
        <w:pStyle w:val="ListParagraph"/>
        <w:numPr>
          <w:ilvl w:val="1"/>
          <w:numId w:val="2"/>
        </w:numPr>
        <w:jc w:val="both"/>
      </w:pPr>
      <w:r w:rsidRPr="00F013BF">
        <w:t>Project schedule finalization and supply chain and logistic plan generation</w:t>
      </w:r>
    </w:p>
    <w:p w:rsidR="00F85F57" w:rsidRPr="00E74BC7" w:rsidRDefault="00F85F57" w:rsidP="003A7BE9">
      <w:pPr>
        <w:pStyle w:val="ListParagraph"/>
        <w:numPr>
          <w:ilvl w:val="1"/>
          <w:numId w:val="2"/>
        </w:numPr>
        <w:jc w:val="both"/>
      </w:pPr>
      <w:r>
        <w:t>Final BESS pricing</w:t>
      </w:r>
    </w:p>
    <w:sectPr w:rsidR="00F85F57" w:rsidRPr="00E74BC7">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D05" w:rsidRDefault="00C67D05" w:rsidP="00F336B0">
      <w:pPr>
        <w:spacing w:after="0" w:line="240" w:lineRule="auto"/>
      </w:pPr>
      <w:r>
        <w:separator/>
      </w:r>
    </w:p>
  </w:endnote>
  <w:endnote w:type="continuationSeparator" w:id="0">
    <w:p w:rsidR="00C67D05" w:rsidRDefault="00C67D05" w:rsidP="00F33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D05" w:rsidRDefault="00C67D05" w:rsidP="00F336B0">
      <w:pPr>
        <w:spacing w:after="0" w:line="240" w:lineRule="auto"/>
      </w:pPr>
      <w:r>
        <w:separator/>
      </w:r>
    </w:p>
  </w:footnote>
  <w:footnote w:type="continuationSeparator" w:id="0">
    <w:p w:rsidR="00C67D05" w:rsidRDefault="00C67D05" w:rsidP="00F33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000" w:firstRow="0" w:lastRow="0" w:firstColumn="0" w:lastColumn="0" w:noHBand="0" w:noVBand="0"/>
    </w:tblPr>
    <w:tblGrid>
      <w:gridCol w:w="3507"/>
      <w:gridCol w:w="5519"/>
    </w:tblGrid>
    <w:tr w:rsidR="00F336B0" w:rsidRPr="00F336B0" w:rsidTr="00BC59C8">
      <w:tc>
        <w:tcPr>
          <w:tcW w:w="3708" w:type="dxa"/>
        </w:tcPr>
        <w:p w:rsidR="00F336B0" w:rsidRPr="00F336B0" w:rsidRDefault="00F336B0" w:rsidP="00F336B0">
          <w:pPr>
            <w:spacing w:before="100" w:beforeAutospacing="1" w:after="100" w:afterAutospacing="1" w:line="240" w:lineRule="auto"/>
            <w:ind w:right="142"/>
            <w:rPr>
              <w:rFonts w:ascii="Tahoma" w:eastAsia="Times New Roman" w:hAnsi="Tahoma" w:cs="Times New Roman"/>
              <w:sz w:val="20"/>
              <w:szCs w:val="20"/>
              <w:lang w:val="en-US"/>
            </w:rPr>
          </w:pPr>
          <w:r w:rsidRPr="00F336B0">
            <w:rPr>
              <w:rFonts w:ascii="Tahoma" w:eastAsia="Times New Roman" w:hAnsi="Tahoma" w:cs="Times New Roman"/>
              <w:noProof/>
              <w:sz w:val="20"/>
              <w:szCs w:val="20"/>
              <w:lang w:val="en-US"/>
            </w:rPr>
            <w:drawing>
              <wp:inline distT="0" distB="0" distL="0" distR="0" wp14:anchorId="70361261" wp14:editId="656C0F78">
                <wp:extent cx="1483995" cy="11125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1112520"/>
                        </a:xfrm>
                        <a:prstGeom prst="rect">
                          <a:avLst/>
                        </a:prstGeom>
                        <a:noFill/>
                        <a:ln>
                          <a:noFill/>
                        </a:ln>
                      </pic:spPr>
                    </pic:pic>
                  </a:graphicData>
                </a:graphic>
              </wp:inline>
            </w:drawing>
          </w:r>
        </w:p>
      </w:tc>
      <w:tc>
        <w:tcPr>
          <w:tcW w:w="6399" w:type="dxa"/>
          <w:vAlign w:val="center"/>
        </w:tcPr>
        <w:p w:rsidR="00F336B0" w:rsidRPr="00F336B0" w:rsidRDefault="00F336B0" w:rsidP="00F336B0">
          <w:pPr>
            <w:spacing w:before="100" w:beforeAutospacing="1" w:after="100" w:afterAutospacing="1" w:line="240" w:lineRule="auto"/>
            <w:ind w:right="142"/>
            <w:jc w:val="right"/>
            <w:rPr>
              <w:rFonts w:ascii="Tahoma" w:eastAsia="Times New Roman" w:hAnsi="Tahoma" w:cs="Times New Roman"/>
              <w:sz w:val="44"/>
              <w:szCs w:val="20"/>
              <w:lang w:val="en-US"/>
            </w:rPr>
          </w:pPr>
        </w:p>
        <w:p w:rsidR="00F336B0" w:rsidRPr="00F336B0" w:rsidRDefault="00F336B0" w:rsidP="00F336B0">
          <w:pPr>
            <w:spacing w:before="100" w:beforeAutospacing="1" w:after="100" w:afterAutospacing="1" w:line="240" w:lineRule="auto"/>
            <w:rPr>
              <w:rFonts w:ascii="Tahoma" w:eastAsia="Times New Roman" w:hAnsi="Tahoma" w:cs="Times New Roman"/>
              <w:sz w:val="40"/>
              <w:szCs w:val="40"/>
              <w:lang w:val="en-US"/>
            </w:rPr>
          </w:pPr>
          <w:r w:rsidRPr="00F336B0">
            <w:rPr>
              <w:rFonts w:ascii="Tahoma" w:eastAsia="Times New Roman" w:hAnsi="Tahoma" w:cs="Times New Roman"/>
              <w:sz w:val="40"/>
              <w:szCs w:val="40"/>
              <w:lang w:val="en-US"/>
            </w:rPr>
            <w:t xml:space="preserve">Appendix </w:t>
          </w:r>
          <w:r>
            <w:rPr>
              <w:rFonts w:ascii="Tahoma" w:eastAsia="Times New Roman" w:hAnsi="Tahoma" w:cs="Times New Roman"/>
              <w:sz w:val="40"/>
              <w:szCs w:val="40"/>
              <w:lang w:val="en-US"/>
            </w:rPr>
            <w:t>3</w:t>
          </w:r>
          <w:r w:rsidRPr="00F336B0">
            <w:rPr>
              <w:rFonts w:ascii="Tahoma" w:eastAsia="Times New Roman" w:hAnsi="Tahoma" w:cs="Times New Roman"/>
              <w:sz w:val="40"/>
              <w:szCs w:val="40"/>
              <w:lang w:val="en-US"/>
            </w:rPr>
            <w:t xml:space="preserve"> – Scope of Supply C</w:t>
          </w:r>
          <w:r w:rsidR="00FB1954">
            <w:rPr>
              <w:rFonts w:ascii="Tahoma" w:eastAsia="Times New Roman" w:hAnsi="Tahoma" w:cs="Times New Roman"/>
              <w:sz w:val="40"/>
              <w:szCs w:val="40"/>
              <w:lang w:val="en-US"/>
            </w:rPr>
            <w:t>oral</w:t>
          </w:r>
          <w:r w:rsidRPr="00F336B0">
            <w:rPr>
              <w:rFonts w:ascii="Tahoma" w:eastAsia="Times New Roman" w:hAnsi="Tahoma" w:cs="Times New Roman"/>
              <w:sz w:val="40"/>
              <w:szCs w:val="40"/>
              <w:lang w:val="en-US"/>
            </w:rPr>
            <w:t xml:space="preserve"> Bay </w:t>
          </w:r>
          <w:r>
            <w:rPr>
              <w:rFonts w:ascii="Tahoma" w:eastAsia="Times New Roman" w:hAnsi="Tahoma" w:cs="Times New Roman"/>
              <w:sz w:val="40"/>
              <w:szCs w:val="40"/>
              <w:lang w:val="en-US"/>
            </w:rPr>
            <w:t xml:space="preserve">Site </w:t>
          </w:r>
          <w:r w:rsidRPr="00F336B0">
            <w:rPr>
              <w:rFonts w:ascii="Tahoma" w:eastAsia="Times New Roman" w:hAnsi="Tahoma" w:cs="Times New Roman"/>
              <w:sz w:val="40"/>
              <w:szCs w:val="40"/>
              <w:lang w:val="en-US"/>
            </w:rPr>
            <w:t>(</w:t>
          </w:r>
          <w:r>
            <w:rPr>
              <w:rFonts w:ascii="Tahoma" w:eastAsia="Times New Roman" w:hAnsi="Tahoma" w:cs="Times New Roman"/>
              <w:sz w:val="40"/>
              <w:szCs w:val="40"/>
              <w:lang w:val="en-US"/>
            </w:rPr>
            <w:t xml:space="preserve">BESS and </w:t>
          </w:r>
          <w:r w:rsidRPr="00F336B0">
            <w:rPr>
              <w:rFonts w:ascii="Tahoma" w:eastAsia="Times New Roman" w:hAnsi="Tahoma" w:cs="Times New Roman"/>
              <w:sz w:val="40"/>
              <w:szCs w:val="40"/>
              <w:lang w:val="en-US"/>
            </w:rPr>
            <w:t>Generator Set)</w:t>
          </w:r>
        </w:p>
      </w:tc>
    </w:tr>
  </w:tbl>
  <w:p w:rsidR="00F336B0" w:rsidRDefault="00F33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A775C"/>
    <w:multiLevelType w:val="hybridMultilevel"/>
    <w:tmpl w:val="9690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84172B"/>
    <w:multiLevelType w:val="hybridMultilevel"/>
    <w:tmpl w:val="1FF68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253E4F"/>
    <w:multiLevelType w:val="hybridMultilevel"/>
    <w:tmpl w:val="D634435E"/>
    <w:lvl w:ilvl="0" w:tplc="EEB41982">
      <w:start w:val="1"/>
      <w:numFmt w:val="decimal"/>
      <w:lvlText w:val="%1."/>
      <w:lvlJc w:val="left"/>
      <w:pPr>
        <w:ind w:left="720" w:hanging="360"/>
      </w:pPr>
      <w:rPr>
        <w:rFonts w:ascii="Times New Roman" w:hAnsi="Times New Roman" w:cs="Times New Roman" w:hint="default"/>
        <w:sz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4B1ABA"/>
    <w:multiLevelType w:val="hybridMultilevel"/>
    <w:tmpl w:val="309C41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9F1"/>
    <w:rsid w:val="000549F1"/>
    <w:rsid w:val="0008227E"/>
    <w:rsid w:val="002E0E8F"/>
    <w:rsid w:val="002F0668"/>
    <w:rsid w:val="003A7BE9"/>
    <w:rsid w:val="00441523"/>
    <w:rsid w:val="005114DB"/>
    <w:rsid w:val="00531CB9"/>
    <w:rsid w:val="005D4FE5"/>
    <w:rsid w:val="006816AA"/>
    <w:rsid w:val="007615D1"/>
    <w:rsid w:val="007E3859"/>
    <w:rsid w:val="008C5CF0"/>
    <w:rsid w:val="008F3E57"/>
    <w:rsid w:val="00B41555"/>
    <w:rsid w:val="00C67D05"/>
    <w:rsid w:val="00CB04D1"/>
    <w:rsid w:val="00D8408D"/>
    <w:rsid w:val="00DB1482"/>
    <w:rsid w:val="00E42054"/>
    <w:rsid w:val="00E73749"/>
    <w:rsid w:val="00EA6E42"/>
    <w:rsid w:val="00F336B0"/>
    <w:rsid w:val="00F43305"/>
    <w:rsid w:val="00F7446B"/>
    <w:rsid w:val="00F85F57"/>
    <w:rsid w:val="00FB1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8FEF7"/>
  <w15:chartTrackingRefBased/>
  <w15:docId w15:val="{75C4D6F5-7A25-4856-A470-C067DDE6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F57"/>
    <w:pPr>
      <w:ind w:left="720"/>
      <w:contextualSpacing/>
    </w:pPr>
    <w:rPr>
      <w:lang w:val="en-US"/>
    </w:rPr>
  </w:style>
  <w:style w:type="paragraph" w:styleId="Header">
    <w:name w:val="header"/>
    <w:basedOn w:val="Normal"/>
    <w:link w:val="HeaderChar"/>
    <w:uiPriority w:val="99"/>
    <w:unhideWhenUsed/>
    <w:rsid w:val="00F33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6B0"/>
  </w:style>
  <w:style w:type="paragraph" w:styleId="Footer">
    <w:name w:val="footer"/>
    <w:basedOn w:val="Normal"/>
    <w:link w:val="FooterChar"/>
    <w:uiPriority w:val="99"/>
    <w:unhideWhenUsed/>
    <w:rsid w:val="00F33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Edmund</dc:creator>
  <cp:lastModifiedBy>Phillips, Edmund</cp:lastModifiedBy>
  <cp:revision>2</cp:revision>
  <dcterms:created xsi:type="dcterms:W3CDTF">2019-07-22T16:57:00Z</dcterms:created>
  <dcterms:modified xsi:type="dcterms:W3CDTF">2019-07-22T16:57:00Z</dcterms:modified>
</cp:coreProperties>
</file>